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3FD45" w14:textId="77777777" w:rsidR="00C6429E" w:rsidRDefault="00C6429E" w:rsidP="00C6429E">
      <w:pPr>
        <w:jc w:val="center"/>
        <w:rPr>
          <w:b/>
          <w:bCs/>
          <w:color w:val="00B050"/>
          <w:lang w:val="en-US"/>
        </w:rPr>
      </w:pPr>
      <w:r w:rsidRPr="00C6429E">
        <w:rPr>
          <w:b/>
          <w:bCs/>
          <w:color w:val="00B050"/>
          <w:lang w:val="en-US"/>
        </w:rPr>
        <w:t>C</w:t>
      </w:r>
      <w:r w:rsidRPr="00C6429E">
        <w:rPr>
          <w:b/>
          <w:bCs/>
          <w:color w:val="00B050"/>
          <w:lang w:val="en-US"/>
        </w:rPr>
        <w:t xml:space="preserve">larifications regarding the proposed new methodology: </w:t>
      </w:r>
    </w:p>
    <w:p w14:paraId="5624902E" w14:textId="25804E8C" w:rsidR="00C6429E" w:rsidRPr="00C6429E" w:rsidRDefault="00C6429E" w:rsidP="00C6429E">
      <w:pPr>
        <w:jc w:val="center"/>
        <w:rPr>
          <w:b/>
          <w:bCs/>
          <w:color w:val="00B050"/>
        </w:rPr>
      </w:pPr>
      <w:r w:rsidRPr="00C6429E">
        <w:rPr>
          <w:b/>
          <w:bCs/>
          <w:color w:val="00B050"/>
          <w:lang w:val="en-US"/>
        </w:rPr>
        <w:t>A6.4-PNM001</w:t>
      </w:r>
      <w:r w:rsidRPr="00C6429E">
        <w:rPr>
          <w:b/>
          <w:bCs/>
          <w:color w:val="00B050"/>
          <w:lang w:val="en-US"/>
        </w:rPr>
        <w:t>: Production</w:t>
      </w:r>
      <w:r w:rsidRPr="00C6429E">
        <w:rPr>
          <w:b/>
          <w:bCs/>
          <w:color w:val="00B050"/>
          <w:lang w:val="en-US"/>
        </w:rPr>
        <w:t xml:space="preserve"> of Ammonia through electrolysis of water, air separation and synthesis of hydrogen and nitrogen</w:t>
      </w:r>
    </w:p>
    <w:p w14:paraId="1580F7A4" w14:textId="7FD1C8EB" w:rsidR="00BA430C" w:rsidRPr="00B71C30" w:rsidRDefault="00C6429E" w:rsidP="006327F6">
      <w:pPr>
        <w:jc w:val="both"/>
        <w:rPr>
          <w:b/>
          <w:bCs/>
          <w:color w:val="0070C0"/>
        </w:rPr>
      </w:pPr>
      <w:r>
        <w:rPr>
          <w:b/>
          <w:bCs/>
          <w:color w:val="0070C0"/>
        </w:rPr>
        <w:t>CL_</w:t>
      </w:r>
      <w:r w:rsidR="00AF170A" w:rsidRPr="00B71C30">
        <w:rPr>
          <w:b/>
          <w:bCs/>
          <w:color w:val="0070C0"/>
        </w:rPr>
        <w:t xml:space="preserve">1. </w:t>
      </w:r>
      <w:r w:rsidR="002D6760" w:rsidRPr="00B71C30">
        <w:rPr>
          <w:b/>
          <w:bCs/>
          <w:color w:val="0070C0"/>
        </w:rPr>
        <w:t>Section 5, Para (i)</w:t>
      </w:r>
    </w:p>
    <w:p w14:paraId="601E566F" w14:textId="1EFF811A" w:rsidR="00522B24" w:rsidRPr="006327F6" w:rsidRDefault="00522B24" w:rsidP="006327F6">
      <w:pPr>
        <w:jc w:val="both"/>
      </w:pPr>
      <w:r w:rsidRPr="006327F6">
        <w:t xml:space="preserve">This condition is included to ensure that when the project uses electricity from more than one renewable source, the project can clearly demonstrate how much electricity was </w:t>
      </w:r>
      <w:r w:rsidR="00530664" w:rsidRPr="006327F6">
        <w:t>scheduled</w:t>
      </w:r>
      <w:r w:rsidRPr="006327F6">
        <w:t xml:space="preserve"> and supplied from each renewable source.</w:t>
      </w:r>
    </w:p>
    <w:p w14:paraId="70421561" w14:textId="5260D371" w:rsidR="00A75D6E" w:rsidRDefault="00522B24" w:rsidP="006327F6">
      <w:pPr>
        <w:jc w:val="both"/>
      </w:pPr>
      <w:r w:rsidRPr="006327F6">
        <w:t>It addresses the risk that the project may incorrectly claim renewable electricity (or claim a higher quantity) if allocation is done using contracts or assumptions instead of verified final drawl schedules</w:t>
      </w:r>
      <w:r w:rsidR="008622E4">
        <w:t xml:space="preserve">. </w:t>
      </w:r>
      <w:r w:rsidR="00A75D6E" w:rsidRPr="006327F6">
        <w:t xml:space="preserve">Therefore, using the final drawl/consumption schedules ensures that only the renewable electricity </w:t>
      </w:r>
      <w:r w:rsidR="00F57F8D" w:rsidRPr="006327F6">
        <w:t>delivered</w:t>
      </w:r>
      <w:r w:rsidR="00A75D6E" w:rsidRPr="006327F6">
        <w:t xml:space="preserve"> to and consumed by the project activity during the monitoring period is accounted for, thereby avoiding misallocation and over-crediting, and this is demonstrated through the final drawl/consumption schedules submitted to and/or issued by the relevant load dispatch centre/energy distribution authorities.</w:t>
      </w:r>
    </w:p>
    <w:p w14:paraId="47572C21" w14:textId="1DFBF974" w:rsidR="005B2891" w:rsidRDefault="005B2891" w:rsidP="006327F6">
      <w:pPr>
        <w:jc w:val="both"/>
      </w:pPr>
      <w:r w:rsidRPr="005B2891">
        <w:t>However, we note that applicability condition (</w:t>
      </w:r>
      <w:r w:rsidR="00D90F3A">
        <w:t>i</w:t>
      </w:r>
      <w:r w:rsidRPr="005B2891">
        <w:t>) appears to be repetitive, since applicability conditions (d), (f), and (g), particularly as clarified in footnote 2</w:t>
      </w:r>
      <w:r w:rsidR="008622E4">
        <w:t xml:space="preserve"> of the revised methodology</w:t>
      </w:r>
      <w:r w:rsidRPr="005B2891">
        <w:t>, already address plants/storage assets. This indicates that the project framework already considers situations involving multiple plants or storage assets from which electricity is sourced. Therefore, condition (</w:t>
      </w:r>
      <w:r w:rsidR="00D90F3A">
        <w:t>i</w:t>
      </w:r>
      <w:r w:rsidRPr="005B2891">
        <w:t>) does not establish an additional requirement but merely reiterates that the applicability extends to more than one plant when electricity is sourced from them.</w:t>
      </w:r>
      <w:r>
        <w:t xml:space="preserve"> </w:t>
      </w:r>
    </w:p>
    <w:p w14:paraId="782BCFC5" w14:textId="4BC1C60B" w:rsidR="000969CF" w:rsidRDefault="000969CF" w:rsidP="006327F6">
      <w:pPr>
        <w:jc w:val="both"/>
      </w:pPr>
      <w:r w:rsidRPr="000969CF">
        <w:t>Accordingly, we are removing applicability condition (</w:t>
      </w:r>
      <w:r w:rsidR="00701D85">
        <w:t>i</w:t>
      </w:r>
      <w:r w:rsidRPr="000969CF">
        <w:t xml:space="preserve">) from the proposed methodology </w:t>
      </w:r>
      <w:r w:rsidR="00701D85">
        <w:t xml:space="preserve">for </w:t>
      </w:r>
      <w:r w:rsidR="00701D85" w:rsidRPr="000969CF">
        <w:t>clarity</w:t>
      </w:r>
      <w:r w:rsidR="00701D85" w:rsidRPr="000969CF">
        <w:t xml:space="preserve"> </w:t>
      </w:r>
      <w:r w:rsidR="00701D85">
        <w:t xml:space="preserve">and </w:t>
      </w:r>
      <w:r w:rsidRPr="000969CF">
        <w:t>to avoid redundancy.</w:t>
      </w:r>
    </w:p>
    <w:p w14:paraId="5DAAECE2" w14:textId="2E15E07A" w:rsidR="00B71C30" w:rsidRPr="00D75AAE" w:rsidRDefault="00C6429E" w:rsidP="006327F6">
      <w:pPr>
        <w:jc w:val="both"/>
        <w:rPr>
          <w:b/>
          <w:bCs/>
          <w:color w:val="0070C0"/>
        </w:rPr>
      </w:pPr>
      <w:r>
        <w:rPr>
          <w:b/>
          <w:bCs/>
          <w:color w:val="0070C0"/>
        </w:rPr>
        <w:t>CL_</w:t>
      </w:r>
      <w:r w:rsidR="00E611B0" w:rsidRPr="00D75AAE">
        <w:rPr>
          <w:b/>
          <w:bCs/>
          <w:color w:val="0070C0"/>
        </w:rPr>
        <w:t>2) a)</w:t>
      </w:r>
      <w:r w:rsidR="006327F6" w:rsidRPr="00D75AAE">
        <w:rPr>
          <w:b/>
          <w:bCs/>
          <w:color w:val="0070C0"/>
        </w:rPr>
        <w:t>.</w:t>
      </w:r>
      <w:r w:rsidR="00B71C30" w:rsidRPr="00D75AAE">
        <w:rPr>
          <w:b/>
          <w:bCs/>
          <w:color w:val="0070C0"/>
        </w:rPr>
        <w:t xml:space="preserve"> </w:t>
      </w:r>
      <w:r w:rsidR="002D6760" w:rsidRPr="00B71C30">
        <w:rPr>
          <w:b/>
          <w:bCs/>
          <w:color w:val="0070C0"/>
        </w:rPr>
        <w:t>Section 5, Para (</w:t>
      </w:r>
      <w:r w:rsidR="002D6760">
        <w:rPr>
          <w:b/>
          <w:bCs/>
          <w:color w:val="0070C0"/>
        </w:rPr>
        <w:t>m</w:t>
      </w:r>
      <w:r w:rsidR="002D6760" w:rsidRPr="00B71C30">
        <w:rPr>
          <w:b/>
          <w:bCs/>
          <w:color w:val="0070C0"/>
        </w:rPr>
        <w:t>)</w:t>
      </w:r>
    </w:p>
    <w:p w14:paraId="4617F1FD" w14:textId="014E91C4" w:rsidR="009B2680" w:rsidRPr="006327F6" w:rsidRDefault="006F167B" w:rsidP="006327F6">
      <w:pPr>
        <w:jc w:val="both"/>
      </w:pPr>
      <w:r w:rsidRPr="006327F6">
        <w:t>Yes.</w:t>
      </w:r>
      <w:r w:rsidR="00294EBC" w:rsidRPr="006327F6">
        <w:t xml:space="preserve"> Under the proposed methodology t</w:t>
      </w:r>
      <w:r w:rsidRPr="006327F6">
        <w:t xml:space="preserve">he retrofit case applies only when the existing fossil-based hydrogen production facility is completely replaced by green hydrogen production (electrolyser), and the existing fossil-based hydrogen production equipment is decommissioned. However, the existing air separation and ammonia synthesis unit may continue to be utilized and fully operated using renewable electricity. This decommissioning requirement is included in accordance with the Article 6.4 Leakage Standard, in order to avoid potential leakage risks associated with the continued operation or re-deployment of the fossil-based hydrogen production </w:t>
      </w:r>
      <w:r w:rsidR="00E25B44" w:rsidRPr="006327F6">
        <w:t>equipment.</w:t>
      </w:r>
    </w:p>
    <w:p w14:paraId="5681E43E" w14:textId="18517187" w:rsidR="00D75AAE" w:rsidRPr="00D75AAE" w:rsidRDefault="00C6429E" w:rsidP="006327F6">
      <w:pPr>
        <w:jc w:val="both"/>
        <w:rPr>
          <w:b/>
          <w:bCs/>
          <w:color w:val="0070C0"/>
        </w:rPr>
      </w:pPr>
      <w:r>
        <w:rPr>
          <w:b/>
          <w:bCs/>
          <w:color w:val="0070C0"/>
        </w:rPr>
        <w:t>CL_</w:t>
      </w:r>
      <w:r w:rsidR="00E25B44" w:rsidRPr="00D75AAE">
        <w:rPr>
          <w:b/>
          <w:bCs/>
          <w:color w:val="0070C0"/>
        </w:rPr>
        <w:t>2) b)</w:t>
      </w:r>
      <w:r w:rsidR="006327F6" w:rsidRPr="00D75AAE">
        <w:rPr>
          <w:b/>
          <w:bCs/>
          <w:color w:val="0070C0"/>
        </w:rPr>
        <w:t>.</w:t>
      </w:r>
      <w:r w:rsidR="00D75AAE" w:rsidRPr="00D75AAE">
        <w:rPr>
          <w:b/>
          <w:bCs/>
          <w:color w:val="0070C0"/>
        </w:rPr>
        <w:t xml:space="preserve"> </w:t>
      </w:r>
      <w:r w:rsidR="00DB1F82" w:rsidRPr="00B71C30">
        <w:rPr>
          <w:b/>
          <w:bCs/>
          <w:color w:val="0070C0"/>
        </w:rPr>
        <w:t>Section 5, Para (</w:t>
      </w:r>
      <w:r w:rsidR="00DB1F82">
        <w:rPr>
          <w:b/>
          <w:bCs/>
          <w:color w:val="0070C0"/>
        </w:rPr>
        <w:t>m</w:t>
      </w:r>
      <w:r w:rsidR="00DB1F82" w:rsidRPr="00B71C30">
        <w:rPr>
          <w:b/>
          <w:bCs/>
          <w:color w:val="0070C0"/>
        </w:rPr>
        <w:t>)</w:t>
      </w:r>
    </w:p>
    <w:p w14:paraId="56440D43" w14:textId="087047DF" w:rsidR="002763E2" w:rsidRPr="006327F6" w:rsidRDefault="002D199D" w:rsidP="006327F6">
      <w:pPr>
        <w:jc w:val="both"/>
      </w:pPr>
      <w:r w:rsidRPr="006327F6">
        <w:t>Since full replacement is required, the parameters f</w:t>
      </w:r>
      <w:r w:rsidRPr="006327F6">
        <w:rPr>
          <w:vertAlign w:val="subscript"/>
        </w:rPr>
        <w:t>H2,green</w:t>
      </w:r>
      <w:r w:rsidRPr="006327F6">
        <w:t xml:space="preserve"> and f</w:t>
      </w:r>
      <w:r w:rsidRPr="006327F6">
        <w:rPr>
          <w:vertAlign w:val="subscript"/>
        </w:rPr>
        <w:t xml:space="preserve">N2,green </w:t>
      </w:r>
      <w:r w:rsidRPr="006327F6">
        <w:t>is no longer relevant in the revised methodology. These parameters were included in the previous version</w:t>
      </w:r>
      <w:r w:rsidR="00B26F8E" w:rsidRPr="006327F6">
        <w:t xml:space="preserve"> of </w:t>
      </w:r>
      <w:r w:rsidR="00B26F8E" w:rsidRPr="006327F6">
        <w:lastRenderedPageBreak/>
        <w:t>submission</w:t>
      </w:r>
      <w:r w:rsidRPr="006327F6">
        <w:t xml:space="preserve"> to account for fractional substitution of green hydrogen/nitrogen, but monitoring such fractions in an integrated facility is complex and may lead to misallocation and over-crediting risks. Therefore, the revised methodology credits only ammonia produced entirely using green hydrogen (and green nitrogen, where applicable).</w:t>
      </w:r>
      <w:r w:rsidR="002763E2" w:rsidRPr="006327F6">
        <w:t xml:space="preserve"> Accordingly, the parameters f</w:t>
      </w:r>
      <w:r w:rsidR="002763E2" w:rsidRPr="006327F6">
        <w:rPr>
          <w:vertAlign w:val="subscript"/>
        </w:rPr>
        <w:t>H2,green</w:t>
      </w:r>
      <w:r w:rsidR="002763E2" w:rsidRPr="006327F6">
        <w:t xml:space="preserve"> and f</w:t>
      </w:r>
      <w:r w:rsidR="002763E2" w:rsidRPr="006327F6">
        <w:rPr>
          <w:vertAlign w:val="subscript"/>
        </w:rPr>
        <w:t xml:space="preserve">N2,green </w:t>
      </w:r>
      <w:r w:rsidR="002763E2" w:rsidRPr="006327F6">
        <w:t>are no longer necessary in the revised methodological framework.</w:t>
      </w:r>
    </w:p>
    <w:p w14:paraId="47B2FE7F" w14:textId="077D0D48" w:rsidR="00DB1F82" w:rsidRDefault="00C6429E" w:rsidP="006327F6">
      <w:pPr>
        <w:jc w:val="both"/>
      </w:pPr>
      <w:r>
        <w:rPr>
          <w:b/>
          <w:bCs/>
          <w:color w:val="0070C0"/>
        </w:rPr>
        <w:t>CL</w:t>
      </w:r>
      <w:r>
        <w:rPr>
          <w:b/>
          <w:bCs/>
          <w:color w:val="0070C0"/>
        </w:rPr>
        <w:t>_</w:t>
      </w:r>
      <w:r w:rsidR="004A46EE" w:rsidRPr="00DB1F82">
        <w:rPr>
          <w:b/>
          <w:bCs/>
          <w:color w:val="0070C0"/>
        </w:rPr>
        <w:t>3.</w:t>
      </w:r>
      <w:r w:rsidR="004A46EE" w:rsidRPr="006327F6">
        <w:t xml:space="preserve"> </w:t>
      </w:r>
      <w:r w:rsidR="00DB1F82" w:rsidRPr="00B71C30">
        <w:rPr>
          <w:b/>
          <w:bCs/>
          <w:color w:val="0070C0"/>
        </w:rPr>
        <w:t xml:space="preserve">Section </w:t>
      </w:r>
      <w:r w:rsidR="00DB1F82">
        <w:rPr>
          <w:b/>
          <w:bCs/>
          <w:color w:val="0070C0"/>
        </w:rPr>
        <w:t>9.3.3</w:t>
      </w:r>
      <w:r w:rsidR="00DB1F82" w:rsidRPr="00B71C30">
        <w:rPr>
          <w:b/>
          <w:bCs/>
          <w:color w:val="0070C0"/>
        </w:rPr>
        <w:t xml:space="preserve">, </w:t>
      </w:r>
      <w:r w:rsidR="00DB1F82" w:rsidRPr="00DB1F82">
        <w:rPr>
          <w:b/>
          <w:bCs/>
          <w:color w:val="0070C0"/>
        </w:rPr>
        <w:t>Common practice analysis</w:t>
      </w:r>
      <w:r w:rsidR="00DB1F82">
        <w:rPr>
          <w:b/>
          <w:bCs/>
          <w:color w:val="0070C0"/>
        </w:rPr>
        <w:t>, Para (29)</w:t>
      </w:r>
    </w:p>
    <w:p w14:paraId="2B79B1B6" w14:textId="050C6608" w:rsidR="00B20DB0" w:rsidRPr="006327F6" w:rsidRDefault="00B20DB0" w:rsidP="006327F6">
      <w:pPr>
        <w:jc w:val="both"/>
      </w:pPr>
      <w:r w:rsidRPr="006327F6">
        <w:t>Although paragraph 13(a)(i) of A6.4-AMT-001 indicates that Approach A is generally suited for discrete, large-scale activities, the methodology selected Approach B because the key objective of the common practice analysis in this case is to evaluate the market penetration of fully renewable-based ammonia relative to the total ammonia market in India.</w:t>
      </w:r>
    </w:p>
    <w:p w14:paraId="76A35846" w14:textId="77777777" w:rsidR="00B20DB0" w:rsidRPr="00B20DB0" w:rsidRDefault="00B20DB0" w:rsidP="006327F6">
      <w:r w:rsidRPr="00B20DB0">
        <w:t>Justification for selecting Approach B and not applying Approach A</w:t>
      </w:r>
    </w:p>
    <w:p w14:paraId="737E685E" w14:textId="410A1487" w:rsidR="00B20DB0" w:rsidRPr="00B20DB0" w:rsidRDefault="00B20DB0" w:rsidP="00B40AF2">
      <w:pPr>
        <w:jc w:val="both"/>
      </w:pPr>
      <w:r w:rsidRPr="00B20DB0">
        <w:t xml:space="preserve">While ammonia production facilities are indeed large-scale and discrete, the application of Approach A would require the identification of all comparable ammonia facilities in </w:t>
      </w:r>
      <w:r w:rsidR="00E25DA1" w:rsidRPr="006327F6">
        <w:t>host country</w:t>
      </w:r>
      <w:r w:rsidRPr="00B20DB0">
        <w:t xml:space="preserve"> and the availability of consistent plant-level information on key technical attributes, including:</w:t>
      </w:r>
    </w:p>
    <w:p w14:paraId="5376D090" w14:textId="7E80FC70" w:rsidR="00B20DB0" w:rsidRPr="00B20DB0" w:rsidRDefault="00B20DB0" w:rsidP="006327F6">
      <w:pPr>
        <w:numPr>
          <w:ilvl w:val="0"/>
          <w:numId w:val="1"/>
        </w:numPr>
        <w:spacing w:after="0"/>
      </w:pPr>
      <w:r w:rsidRPr="00B20DB0">
        <w:t>the hydrogen production pathway (SMR, coal gasification, refinery off-gas, electrolysis, etc.</w:t>
      </w:r>
      <w:r w:rsidR="006327F6" w:rsidRPr="00B20DB0">
        <w:t>).</w:t>
      </w:r>
    </w:p>
    <w:p w14:paraId="102C0C3E" w14:textId="57BB2B50" w:rsidR="00B20DB0" w:rsidRPr="00B20DB0" w:rsidRDefault="00B20DB0" w:rsidP="006327F6">
      <w:pPr>
        <w:numPr>
          <w:ilvl w:val="0"/>
          <w:numId w:val="1"/>
        </w:numPr>
        <w:spacing w:after="0"/>
      </w:pPr>
      <w:r w:rsidRPr="00B20DB0">
        <w:t xml:space="preserve">the extent of decarbonisation (e.g., partial electrolytic hydrogen blending, renewable electricity </w:t>
      </w:r>
      <w:r w:rsidR="006327F6" w:rsidRPr="00B20DB0">
        <w:t>uses</w:t>
      </w:r>
      <w:r w:rsidRPr="00B20DB0">
        <w:t xml:space="preserve"> for auxiliary loads, partial CCS capture);</w:t>
      </w:r>
    </w:p>
    <w:p w14:paraId="04DE5788" w14:textId="77777777" w:rsidR="00B20DB0" w:rsidRPr="00B20DB0" w:rsidRDefault="00B20DB0" w:rsidP="006327F6">
      <w:pPr>
        <w:numPr>
          <w:ilvl w:val="0"/>
          <w:numId w:val="1"/>
        </w:numPr>
        <w:spacing w:after="0"/>
      </w:pPr>
      <w:r w:rsidRPr="00B20DB0">
        <w:t>operational boundaries and integration (standalone ammonia units vs integrated ammonia-urea complexes); and</w:t>
      </w:r>
    </w:p>
    <w:p w14:paraId="60D0A7F0" w14:textId="77777777" w:rsidR="00B20DB0" w:rsidRPr="00B20DB0" w:rsidRDefault="00B20DB0" w:rsidP="006327F6">
      <w:pPr>
        <w:numPr>
          <w:ilvl w:val="0"/>
          <w:numId w:val="1"/>
        </w:numPr>
        <w:spacing w:after="120"/>
      </w:pPr>
      <w:r w:rsidRPr="00B20DB0">
        <w:t>the commissioning/start dates and production capacity within an applicable capacity/output range.</w:t>
      </w:r>
    </w:p>
    <w:p w14:paraId="05505026" w14:textId="77777777" w:rsidR="003E677E" w:rsidRDefault="003E677E" w:rsidP="003E677E">
      <w:pPr>
        <w:jc w:val="both"/>
      </w:pPr>
      <w:r>
        <w:t>In practice, detailed and verifiable plant-level information is not consistently available for all ammonia facilities, particularly for partially decarbonized configurations that may include varying shares of renewable electricity, hydrogen blending, or partial CCS integration. This limitation introduces significant uncertainty in defining and classifying comparable and similar activities under Approach A.</w:t>
      </w:r>
    </w:p>
    <w:p w14:paraId="5092F778" w14:textId="77777777" w:rsidR="003E677E" w:rsidRDefault="003E677E" w:rsidP="003E677E">
      <w:pPr>
        <w:jc w:val="both"/>
      </w:pPr>
      <w:r>
        <w:t>For example, India has around 36 operational ammonia production plants, while Pakistan has about 8. Obtaining reliable and consistent technical data for each facility—especially in countries with a large number of plants—can be challenging. As a result, applying a facility-level comparison under Approach A may not be practical or sufficiently robust. Therefore, Approach B is selected, as it relies on the market penetration rate of ammonia production technologies rather than detailed plant-specific information.</w:t>
      </w:r>
    </w:p>
    <w:p w14:paraId="25EC96DC" w14:textId="77777777" w:rsidR="003E677E" w:rsidRDefault="003E677E" w:rsidP="003E677E">
      <w:pPr>
        <w:jc w:val="both"/>
      </w:pPr>
      <w:r>
        <w:lastRenderedPageBreak/>
        <w:t>In contrast, aggregated market-level data on ammonia production within a host country is generally available through national statistics and industry reports. This enables a transparent and conservative estimation of the total market size and the penetration of fully renewable-based ammonia. Accordingly, Approach B is considered more appropriate and methodologically robust, as it avoids inconsistencies in facility-level classification and provides a clearer measure of technology diffusion through market penetration.</w:t>
      </w:r>
    </w:p>
    <w:p w14:paraId="0607B767" w14:textId="63733056" w:rsidR="00DB1F82" w:rsidRPr="00A25FF7" w:rsidRDefault="00C6429E" w:rsidP="003E677E">
      <w:pPr>
        <w:jc w:val="both"/>
        <w:rPr>
          <w:b/>
          <w:bCs/>
          <w:color w:val="0070C0"/>
        </w:rPr>
      </w:pPr>
      <w:r>
        <w:rPr>
          <w:b/>
          <w:bCs/>
          <w:color w:val="0070C0"/>
        </w:rPr>
        <w:t>CL</w:t>
      </w:r>
      <w:r>
        <w:rPr>
          <w:b/>
          <w:bCs/>
          <w:color w:val="0070C0"/>
        </w:rPr>
        <w:t>_</w:t>
      </w:r>
      <w:r w:rsidR="006327F6" w:rsidRPr="00A25FF7">
        <w:rPr>
          <w:b/>
          <w:bCs/>
          <w:color w:val="0070C0"/>
        </w:rPr>
        <w:t xml:space="preserve">4. </w:t>
      </w:r>
      <w:r w:rsidR="00A25FF7" w:rsidRPr="00A25FF7">
        <w:rPr>
          <w:b/>
          <w:bCs/>
          <w:color w:val="0070C0"/>
        </w:rPr>
        <w:t>Section 10.2. Application of the selected approach, prior to implementation of a downward adjustment, Para (43)</w:t>
      </w:r>
    </w:p>
    <w:p w14:paraId="654748DE" w14:textId="18209372" w:rsidR="005771E2" w:rsidRDefault="00906BE7" w:rsidP="00541477">
      <w:pPr>
        <w:jc w:val="both"/>
        <w:rPr>
          <w:color w:val="000000" w:themeColor="text1"/>
        </w:rPr>
      </w:pPr>
      <w:r w:rsidRPr="00906BE7">
        <w:rPr>
          <w:color w:val="000000" w:themeColor="text1"/>
        </w:rPr>
        <w:t>Since approximately 90–95% of total emissions in ammonia manufacturing arise from hydrogen production, BAT determination has been focused exclusively on the hydrogen production stage. While BAT options also exist for nitrogen separation and ammonia synthesis, their contribution to overall emissions</w:t>
      </w:r>
      <w:r w:rsidR="00FE7E01">
        <w:rPr>
          <w:color w:val="000000" w:themeColor="text1"/>
        </w:rPr>
        <w:t xml:space="preserve"> in the ammonia production process</w:t>
      </w:r>
      <w:r w:rsidRPr="00906BE7">
        <w:rPr>
          <w:color w:val="000000" w:themeColor="text1"/>
        </w:rPr>
        <w:t xml:space="preserve"> is comparatively minor. Accordingly, the footnote has been revised as follows</w:t>
      </w:r>
      <w:r w:rsidR="00FE7E01" w:rsidRPr="00906BE7">
        <w:rPr>
          <w:color w:val="000000" w:themeColor="text1"/>
        </w:rPr>
        <w:t xml:space="preserve">: </w:t>
      </w:r>
      <w:r w:rsidR="00FE7E01">
        <w:rPr>
          <w:color w:val="000000" w:themeColor="text1"/>
        </w:rPr>
        <w:t>“</w:t>
      </w:r>
      <w:r w:rsidR="00B02F2C" w:rsidRPr="006514B2">
        <w:rPr>
          <w:i/>
          <w:iCs/>
        </w:rPr>
        <w:t>For BAT determination, only the primary hydrogen production pathways (para 42) are considered baseline technologies. CCS and hybrid approaches are project measures applied alongside baseline technologies. Hydrogen production dominates GHG emissions which constitutes approximately 90-95% of the emission, hence the only hydrogen production pathways are considered for the BAT</w:t>
      </w:r>
      <w:r w:rsidR="00B02F2C">
        <w:t>”</w:t>
      </w:r>
    </w:p>
    <w:p w14:paraId="3881DD66" w14:textId="33ACF5F7" w:rsidR="00541477" w:rsidRPr="00541477" w:rsidRDefault="00426449" w:rsidP="00541477">
      <w:pPr>
        <w:jc w:val="both"/>
        <w:rPr>
          <w:color w:val="000000" w:themeColor="text1"/>
        </w:rPr>
      </w:pPr>
      <w:r w:rsidRPr="00426449">
        <w:rPr>
          <w:color w:val="000000" w:themeColor="text1"/>
        </w:rPr>
        <w:t>The statement in footnote 4 does not intend to imply that no technical improvements are possible in nitrogen production or ammonia synthesis loops. Rather, it reflects the methodological decision that BAT selection focuses on the process steps that materially determine the GHG emissions intensity of ammonia production.</w:t>
      </w:r>
    </w:p>
    <w:p w14:paraId="691776E8" w14:textId="55683683" w:rsidR="00541477" w:rsidRDefault="00541477" w:rsidP="00541477">
      <w:pPr>
        <w:jc w:val="both"/>
        <w:rPr>
          <w:color w:val="000000" w:themeColor="text1"/>
        </w:rPr>
      </w:pPr>
      <w:r w:rsidRPr="00541477">
        <w:rPr>
          <w:color w:val="000000" w:themeColor="text1"/>
        </w:rPr>
        <w:t>In ammonia production</w:t>
      </w:r>
      <w:r w:rsidR="00A14CA9">
        <w:rPr>
          <w:color w:val="000000" w:themeColor="text1"/>
        </w:rPr>
        <w:t xml:space="preserve"> </w:t>
      </w:r>
      <w:r w:rsidR="00985215">
        <w:rPr>
          <w:color w:val="000000" w:themeColor="text1"/>
        </w:rPr>
        <w:t>activity</w:t>
      </w:r>
      <w:r w:rsidRPr="00541477">
        <w:rPr>
          <w:color w:val="000000" w:themeColor="text1"/>
        </w:rPr>
        <w:t xml:space="preserve">, </w:t>
      </w:r>
      <w:r w:rsidR="00985215" w:rsidRPr="00985215">
        <w:rPr>
          <w:color w:val="000000" w:themeColor="text1"/>
        </w:rPr>
        <w:t>the dominant source of emissions arises from hydrogen generation</w:t>
      </w:r>
      <w:r w:rsidR="00C74602">
        <w:rPr>
          <w:color w:val="000000" w:themeColor="text1"/>
        </w:rPr>
        <w:t>/production</w:t>
      </w:r>
      <w:r w:rsidR="00985215" w:rsidRPr="00985215">
        <w:rPr>
          <w:color w:val="000000" w:themeColor="text1"/>
        </w:rPr>
        <w:t xml:space="preserve"> (e.g., SMR/ATR/coal gasification), which accounts for most of the energy use and direct CO₂ emissions. By contrast, nitrogen production (air separation) and the ammonia synthesis loop (Haber–Bosch) are mature and standardized industrial processes. While efficiency improvements remain technically feasible (e.g., catalyst improvements, heat integration, compressor optimization), these typically provide incremental gains and contribute relatively less to overall emissions intensity than the hydrogen production pathway.</w:t>
      </w:r>
    </w:p>
    <w:p w14:paraId="7428CEB7" w14:textId="02AC537F" w:rsidR="00207C87" w:rsidRDefault="00207C87" w:rsidP="00541477">
      <w:pPr>
        <w:jc w:val="both"/>
        <w:rPr>
          <w:color w:val="000000" w:themeColor="text1"/>
        </w:rPr>
      </w:pPr>
      <w:r w:rsidRPr="00207C87">
        <w:rPr>
          <w:color w:val="000000" w:themeColor="text1"/>
        </w:rPr>
        <w:t>According to peer-reviewed literature, the bulk of energy consumed in ammonia production arises from hydrogen production rather than the synthesis loop. Specifically, hydrogen generation accounts for approximately 90–95% of total energy input in conventional plants, with the Haber–Bosch synthesis and nitrogen separation loops contributing a much smaller share (≈6% and ≈2% respectively). (</w:t>
      </w:r>
      <w:hyperlink r:id="rId5" w:tgtFrame="_new" w:history="1">
        <w:r w:rsidRPr="00207C87">
          <w:rPr>
            <w:rStyle w:val="Hyperlink"/>
          </w:rPr>
          <w:t>Nature Food</w:t>
        </w:r>
      </w:hyperlink>
      <w:r w:rsidRPr="00207C87">
        <w:rPr>
          <w:color w:val="000000" w:themeColor="text1"/>
        </w:rPr>
        <w:t xml:space="preserve">; </w:t>
      </w:r>
      <w:hyperlink r:id="rId6" w:tgtFrame="_new" w:history="1">
        <w:r w:rsidRPr="00207C87">
          <w:rPr>
            <w:rStyle w:val="Hyperlink"/>
          </w:rPr>
          <w:t>GreenAmmonia.info</w:t>
        </w:r>
      </w:hyperlink>
      <w:r w:rsidRPr="00207C87">
        <w:rPr>
          <w:color w:val="000000" w:themeColor="text1"/>
        </w:rPr>
        <w:t xml:space="preserve">; </w:t>
      </w:r>
      <w:hyperlink r:id="rId7" w:tgtFrame="_new" w:history="1">
        <w:r w:rsidRPr="00207C87">
          <w:rPr>
            <w:rStyle w:val="Hyperlink"/>
          </w:rPr>
          <w:t>ENERGY STAR Fertilizer Guide</w:t>
        </w:r>
      </w:hyperlink>
      <w:r>
        <w:rPr>
          <w:color w:val="000000" w:themeColor="text1"/>
        </w:rPr>
        <w:t xml:space="preserve">) </w:t>
      </w:r>
    </w:p>
    <w:p w14:paraId="2E5BFA69" w14:textId="5266FAA6" w:rsidR="00A21966" w:rsidRPr="00B20DB0" w:rsidRDefault="00743352" w:rsidP="00541477">
      <w:pPr>
        <w:jc w:val="both"/>
        <w:rPr>
          <w:color w:val="000000" w:themeColor="text1"/>
        </w:rPr>
      </w:pPr>
      <w:r w:rsidRPr="00743352">
        <w:rPr>
          <w:color w:val="000000" w:themeColor="text1"/>
        </w:rPr>
        <w:lastRenderedPageBreak/>
        <w:t>In addition, synthesis-loop efficiency improvements are highly site-specific, making it difficult to define a robust and universally applicable BAT benchmark without uncertainty and inconsistent baseline outcomes. Therefore, this methodology restricts BAT selection to the key emissions drivers, namely the hydrogen production pathway and electricity sourcing, while nitrogen production and ammonia synthesis are treated as standard industrial practice and addressed through monitoring where relevant.</w:t>
      </w:r>
    </w:p>
    <w:p w14:paraId="29F9CA1B" w14:textId="55124163" w:rsidR="003E0129" w:rsidRPr="00A25FF7" w:rsidRDefault="00C6429E" w:rsidP="003E0129">
      <w:pPr>
        <w:jc w:val="both"/>
        <w:rPr>
          <w:b/>
          <w:bCs/>
          <w:color w:val="0070C0"/>
        </w:rPr>
      </w:pPr>
      <w:r>
        <w:rPr>
          <w:b/>
          <w:bCs/>
          <w:color w:val="0070C0"/>
        </w:rPr>
        <w:t>CL</w:t>
      </w:r>
      <w:r>
        <w:rPr>
          <w:b/>
          <w:bCs/>
          <w:color w:val="0070C0"/>
        </w:rPr>
        <w:t>_</w:t>
      </w:r>
      <w:r w:rsidR="003E0129">
        <w:rPr>
          <w:b/>
          <w:bCs/>
          <w:color w:val="0070C0"/>
        </w:rPr>
        <w:t>5</w:t>
      </w:r>
      <w:r w:rsidR="003E0129" w:rsidRPr="00A25FF7">
        <w:rPr>
          <w:b/>
          <w:bCs/>
          <w:color w:val="0070C0"/>
        </w:rPr>
        <w:t>. Section 10.2. Application of the selected approach, prior to implementation of a downward adjustment, Para (4</w:t>
      </w:r>
      <w:r w:rsidR="003E0129">
        <w:rPr>
          <w:b/>
          <w:bCs/>
          <w:color w:val="0070C0"/>
        </w:rPr>
        <w:t>4 - 46</w:t>
      </w:r>
      <w:r w:rsidR="003E0129" w:rsidRPr="00A25FF7">
        <w:rPr>
          <w:b/>
          <w:bCs/>
          <w:color w:val="0070C0"/>
        </w:rPr>
        <w:t>)</w:t>
      </w:r>
    </w:p>
    <w:p w14:paraId="4491A49C" w14:textId="7E1BE3E5" w:rsidR="002145DA" w:rsidRPr="002145DA" w:rsidRDefault="002145DA" w:rsidP="002145DA">
      <w:pPr>
        <w:jc w:val="both"/>
        <w:rPr>
          <w:color w:val="000000" w:themeColor="text1"/>
        </w:rPr>
      </w:pPr>
      <w:r w:rsidRPr="002145DA">
        <w:rPr>
          <w:color w:val="000000" w:themeColor="text1"/>
        </w:rPr>
        <w:t>For determining the BAT, it is mandatory to identify environmentally sound and economically viable technologies available in the project region, as required by the baseline setting standard. The economic viability assessment is conducted in accordance with paragraph 45</w:t>
      </w:r>
      <w:r w:rsidR="00AD6E0C">
        <w:rPr>
          <w:color w:val="000000" w:themeColor="text1"/>
        </w:rPr>
        <w:t>-46</w:t>
      </w:r>
      <w:r w:rsidR="004E48F5">
        <w:rPr>
          <w:color w:val="000000" w:themeColor="text1"/>
        </w:rPr>
        <w:t xml:space="preserve"> of the proposed meth</w:t>
      </w:r>
      <w:r w:rsidRPr="002145DA">
        <w:rPr>
          <w:color w:val="000000" w:themeColor="text1"/>
        </w:rPr>
        <w:t>.</w:t>
      </w:r>
    </w:p>
    <w:p w14:paraId="2264CA51" w14:textId="77777777" w:rsidR="002145DA" w:rsidRPr="002145DA" w:rsidRDefault="002145DA" w:rsidP="002145DA">
      <w:pPr>
        <w:jc w:val="both"/>
        <w:rPr>
          <w:color w:val="000000" w:themeColor="text1"/>
        </w:rPr>
      </w:pPr>
      <w:r w:rsidRPr="002145DA">
        <w:rPr>
          <w:color w:val="000000" w:themeColor="text1"/>
        </w:rPr>
        <w:t>The investment analysis described in paragraphs 44–46 is both feasible and methodologically valid, even when it relies on facilities or technologies that are not part of the proposed Article 6.4 activity itself. The purpose of this analysis is to assess the economic viability of alternative technologies or practices that could be implemented under the baseline scenario, rather than evaluating the financial performance of the project activity.</w:t>
      </w:r>
    </w:p>
    <w:p w14:paraId="38537D0C" w14:textId="77777777" w:rsidR="002E5C22" w:rsidRDefault="002145DA" w:rsidP="002145DA">
      <w:pPr>
        <w:jc w:val="both"/>
        <w:rPr>
          <w:color w:val="000000" w:themeColor="text1"/>
        </w:rPr>
      </w:pPr>
      <w:r w:rsidRPr="002145DA">
        <w:rPr>
          <w:color w:val="000000" w:themeColor="text1"/>
        </w:rPr>
        <w:t>As outlined in paragraph 44, activity participants first identify technologies and practices that are environmentally sound. Paragraph 45 establishes that technologies/practices are economically viable if they:</w:t>
      </w:r>
    </w:p>
    <w:p w14:paraId="6580FA3B" w14:textId="75F62376" w:rsidR="002E5C22" w:rsidRDefault="002145DA" w:rsidP="002E5C22">
      <w:pPr>
        <w:spacing w:after="120"/>
        <w:jc w:val="both"/>
        <w:rPr>
          <w:color w:val="000000" w:themeColor="text1"/>
        </w:rPr>
      </w:pPr>
      <w:r w:rsidRPr="002145DA">
        <w:rPr>
          <w:color w:val="000000" w:themeColor="text1"/>
        </w:rPr>
        <w:t>(a)</w:t>
      </w:r>
      <w:r w:rsidR="00EA7C38">
        <w:rPr>
          <w:color w:val="000000" w:themeColor="text1"/>
        </w:rPr>
        <w:t xml:space="preserve"> </w:t>
      </w:r>
      <w:r w:rsidRPr="002145DA">
        <w:rPr>
          <w:color w:val="000000" w:themeColor="text1"/>
        </w:rPr>
        <w:t>have been implemented under prevailing market conditions without significant subsidies by at least one facility within the baseline geographical area, or</w:t>
      </w:r>
    </w:p>
    <w:p w14:paraId="0FB25082" w14:textId="318513D1" w:rsidR="002145DA" w:rsidRPr="002145DA" w:rsidRDefault="002145DA" w:rsidP="002E5C22">
      <w:pPr>
        <w:spacing w:after="120"/>
        <w:jc w:val="both"/>
        <w:rPr>
          <w:color w:val="000000" w:themeColor="text1"/>
        </w:rPr>
      </w:pPr>
      <w:r w:rsidRPr="002145DA">
        <w:rPr>
          <w:color w:val="000000" w:themeColor="text1"/>
        </w:rPr>
        <w:t xml:space="preserve">(b) are accessible off the shelf or via tendering within the baseline area on economically viable terms compared to </w:t>
      </w:r>
      <w:r w:rsidR="001461FF" w:rsidRPr="002145DA">
        <w:rPr>
          <w:color w:val="000000" w:themeColor="text1"/>
        </w:rPr>
        <w:t>an</w:t>
      </w:r>
      <w:r w:rsidR="00423195">
        <w:rPr>
          <w:color w:val="000000" w:themeColor="text1"/>
        </w:rPr>
        <w:t xml:space="preserve"> investment</w:t>
      </w:r>
      <w:r w:rsidRPr="002145DA">
        <w:rPr>
          <w:color w:val="000000" w:themeColor="text1"/>
        </w:rPr>
        <w:t xml:space="preserve"> benchmark.</w:t>
      </w:r>
    </w:p>
    <w:p w14:paraId="64C13E24" w14:textId="77777777" w:rsidR="001F0136" w:rsidRPr="002145DA" w:rsidRDefault="002145DA" w:rsidP="001F0136">
      <w:pPr>
        <w:jc w:val="both"/>
        <w:rPr>
          <w:color w:val="000000" w:themeColor="text1"/>
        </w:rPr>
      </w:pPr>
      <w:r w:rsidRPr="002145DA">
        <w:rPr>
          <w:color w:val="000000" w:themeColor="text1"/>
        </w:rPr>
        <w:t xml:space="preserve">To determine viability under 45(b), paragraph 46 requires conducting an investment analysis using a benchmark approach consistent with the additionality demonstration. </w:t>
      </w:r>
      <w:r w:rsidR="0067328C" w:rsidRPr="0067328C">
        <w:rPr>
          <w:color w:val="000000" w:themeColor="text1"/>
        </w:rPr>
        <w:t xml:space="preserve">Where direct cost information from local suppliers is unavailable, cost and financial parameters may be derived </w:t>
      </w:r>
      <w:r w:rsidR="0067328C" w:rsidRPr="00783862">
        <w:rPr>
          <w:b/>
          <w:bCs/>
          <w:color w:val="000000" w:themeColor="text1"/>
        </w:rPr>
        <w:t>from benchmarks, historical data from similar facilities, peer-reviewed literature, country-specific cost reports, or internationally recognized studies/standards,</w:t>
      </w:r>
      <w:r w:rsidR="0067328C" w:rsidRPr="0067328C">
        <w:rPr>
          <w:color w:val="000000" w:themeColor="text1"/>
        </w:rPr>
        <w:t xml:space="preserve"> provided that proper justification is given demonstrating that such information can reasonably represent conditions within the applicable baseline geographical reference area.</w:t>
      </w:r>
      <w:r w:rsidR="001F0136">
        <w:rPr>
          <w:color w:val="000000" w:themeColor="text1"/>
        </w:rPr>
        <w:t xml:space="preserve"> </w:t>
      </w:r>
      <w:r w:rsidR="001F0136">
        <w:rPr>
          <w:color w:val="000000" w:themeColor="text1"/>
        </w:rPr>
        <w:t>The DOE shall cross-verify the same during the validation and project registration stage.</w:t>
      </w:r>
    </w:p>
    <w:p w14:paraId="28328456" w14:textId="38634D41" w:rsidR="003E0129" w:rsidRPr="00A25FF7" w:rsidRDefault="00C6429E" w:rsidP="003E0129">
      <w:pPr>
        <w:jc w:val="both"/>
        <w:rPr>
          <w:b/>
          <w:bCs/>
          <w:color w:val="0070C0"/>
        </w:rPr>
      </w:pPr>
      <w:r>
        <w:rPr>
          <w:b/>
          <w:bCs/>
          <w:color w:val="0070C0"/>
        </w:rPr>
        <w:t>CL</w:t>
      </w:r>
      <w:r>
        <w:rPr>
          <w:b/>
          <w:bCs/>
          <w:color w:val="0070C0"/>
        </w:rPr>
        <w:t>_</w:t>
      </w:r>
      <w:r w:rsidR="003E0129">
        <w:rPr>
          <w:b/>
          <w:bCs/>
          <w:color w:val="0070C0"/>
        </w:rPr>
        <w:t>6</w:t>
      </w:r>
      <w:r w:rsidR="003E0129" w:rsidRPr="00A25FF7">
        <w:rPr>
          <w:b/>
          <w:bCs/>
          <w:color w:val="0070C0"/>
        </w:rPr>
        <w:t>. Section 10.2. Application of the selected approach, prior to implementation of a downward adjustment, Para (4</w:t>
      </w:r>
      <w:r w:rsidR="003E0129">
        <w:rPr>
          <w:b/>
          <w:bCs/>
          <w:color w:val="0070C0"/>
        </w:rPr>
        <w:t>7</w:t>
      </w:r>
      <w:r w:rsidR="003E0129" w:rsidRPr="00A25FF7">
        <w:rPr>
          <w:b/>
          <w:bCs/>
          <w:color w:val="0070C0"/>
        </w:rPr>
        <w:t>)</w:t>
      </w:r>
    </w:p>
    <w:p w14:paraId="4597B8E9" w14:textId="1BE12600" w:rsidR="00076266" w:rsidRPr="00076266" w:rsidRDefault="003E0129" w:rsidP="00076266">
      <w:pPr>
        <w:jc w:val="both"/>
        <w:rPr>
          <w:color w:val="000000" w:themeColor="text1"/>
        </w:rPr>
      </w:pPr>
      <w:r>
        <w:rPr>
          <w:color w:val="000000" w:themeColor="text1"/>
        </w:rPr>
        <w:lastRenderedPageBreak/>
        <w:t>I</w:t>
      </w:r>
      <w:r w:rsidR="00076266" w:rsidRPr="00076266">
        <w:rPr>
          <w:color w:val="000000" w:themeColor="text1"/>
        </w:rPr>
        <w:t xml:space="preserve">n the methodology, the emission intensities of remaining technologies are determined using a </w:t>
      </w:r>
      <w:r w:rsidR="00076266" w:rsidRPr="00076266">
        <w:rPr>
          <w:b/>
          <w:bCs/>
          <w:color w:val="000000" w:themeColor="text1"/>
        </w:rPr>
        <w:t>two-tiered approach</w:t>
      </w:r>
      <w:r w:rsidR="00076266" w:rsidRPr="00076266">
        <w:rPr>
          <w:color w:val="000000" w:themeColor="text1"/>
        </w:rPr>
        <w:t>:</w:t>
      </w:r>
    </w:p>
    <w:p w14:paraId="689D9F67" w14:textId="77777777" w:rsidR="00076266" w:rsidRPr="00076266" w:rsidRDefault="00076266" w:rsidP="00076266">
      <w:pPr>
        <w:numPr>
          <w:ilvl w:val="0"/>
          <w:numId w:val="3"/>
        </w:numPr>
        <w:jc w:val="both"/>
        <w:rPr>
          <w:color w:val="000000" w:themeColor="text1"/>
        </w:rPr>
      </w:pPr>
      <w:r w:rsidRPr="00076266">
        <w:rPr>
          <w:b/>
          <w:bCs/>
          <w:color w:val="000000" w:themeColor="text1"/>
        </w:rPr>
        <w:t>Primary approach</w:t>
      </w:r>
      <w:r w:rsidRPr="00076266">
        <w:rPr>
          <w:color w:val="000000" w:themeColor="text1"/>
        </w:rPr>
        <w:t>: Collecting actual emission intensity data directly from technology suppliers or operational plants, where feasible.</w:t>
      </w:r>
    </w:p>
    <w:p w14:paraId="01F92DAE" w14:textId="77777777" w:rsidR="00076266" w:rsidRPr="00076266" w:rsidRDefault="00076266" w:rsidP="00076266">
      <w:pPr>
        <w:numPr>
          <w:ilvl w:val="0"/>
          <w:numId w:val="3"/>
        </w:numPr>
        <w:jc w:val="both"/>
        <w:rPr>
          <w:color w:val="000000" w:themeColor="text1"/>
        </w:rPr>
      </w:pPr>
      <w:r w:rsidRPr="00076266">
        <w:rPr>
          <w:b/>
          <w:bCs/>
          <w:color w:val="000000" w:themeColor="text1"/>
        </w:rPr>
        <w:t>Secondary approach</w:t>
      </w:r>
      <w:r w:rsidRPr="00076266">
        <w:rPr>
          <w:color w:val="000000" w:themeColor="text1"/>
        </w:rPr>
        <w:t xml:space="preserve">: Where direct data is not available, emission intensities are derived using </w:t>
      </w:r>
      <w:r w:rsidRPr="00076266">
        <w:rPr>
          <w:b/>
          <w:bCs/>
          <w:color w:val="000000" w:themeColor="text1"/>
        </w:rPr>
        <w:t>benchmarks, historical data from similar plants, peer-reviewed literature, country-specific reports, or internationally recognized standards</w:t>
      </w:r>
      <w:r w:rsidRPr="00076266">
        <w:rPr>
          <w:color w:val="000000" w:themeColor="text1"/>
        </w:rPr>
        <w:t>, provided proper justification is given that such data reasonably represents conditions within the baseline geographical area.</w:t>
      </w:r>
    </w:p>
    <w:p w14:paraId="63B89E38" w14:textId="77777777" w:rsidR="001F0136" w:rsidRPr="002145DA" w:rsidRDefault="00076266" w:rsidP="001F0136">
      <w:pPr>
        <w:jc w:val="both"/>
        <w:rPr>
          <w:color w:val="000000" w:themeColor="text1"/>
        </w:rPr>
      </w:pPr>
      <w:r w:rsidRPr="00076266">
        <w:rPr>
          <w:color w:val="000000" w:themeColor="text1"/>
        </w:rPr>
        <w:t>Hence, while actual data is preferred, the secondary approach effectively uses benchmark or reference values to ensure robust and consistent baseline emission calculations.</w:t>
      </w:r>
      <w:r w:rsidR="001F0136">
        <w:rPr>
          <w:color w:val="000000" w:themeColor="text1"/>
        </w:rPr>
        <w:t xml:space="preserve"> </w:t>
      </w:r>
      <w:r w:rsidR="001F0136">
        <w:rPr>
          <w:color w:val="000000" w:themeColor="text1"/>
        </w:rPr>
        <w:t>The DOE shall cross-verify the same during the validation and project registration stage.</w:t>
      </w:r>
    </w:p>
    <w:p w14:paraId="47A036FA" w14:textId="54978BBB" w:rsidR="008B4BCA" w:rsidRPr="00A25FF7" w:rsidRDefault="00C6429E" w:rsidP="008B4BCA">
      <w:pPr>
        <w:jc w:val="both"/>
        <w:rPr>
          <w:b/>
          <w:bCs/>
          <w:color w:val="0070C0"/>
        </w:rPr>
      </w:pPr>
      <w:r>
        <w:rPr>
          <w:b/>
          <w:bCs/>
          <w:color w:val="0070C0"/>
        </w:rPr>
        <w:t>CL</w:t>
      </w:r>
      <w:r>
        <w:rPr>
          <w:b/>
          <w:bCs/>
          <w:color w:val="0070C0"/>
        </w:rPr>
        <w:t>_</w:t>
      </w:r>
      <w:r w:rsidR="008B4BCA" w:rsidRPr="008B4BCA">
        <w:rPr>
          <w:b/>
          <w:bCs/>
          <w:color w:val="0070C0"/>
          <w:lang w:val="en-US"/>
        </w:rPr>
        <w:t>7</w:t>
      </w:r>
      <w:r w:rsidR="008B4BCA" w:rsidRPr="008B4BCA">
        <w:rPr>
          <w:b/>
          <w:bCs/>
          <w:color w:val="0070C0"/>
        </w:rPr>
        <w:t>. Section 10.4.1. Calculation of the conservative BAU emissions</w:t>
      </w:r>
      <w:r w:rsidR="008B4BCA" w:rsidRPr="00A25FF7">
        <w:rPr>
          <w:b/>
          <w:bCs/>
          <w:color w:val="0070C0"/>
        </w:rPr>
        <w:t>, Para (</w:t>
      </w:r>
      <w:r w:rsidR="008B4BCA">
        <w:rPr>
          <w:b/>
          <w:bCs/>
          <w:color w:val="0070C0"/>
        </w:rPr>
        <w:t>72 - 74</w:t>
      </w:r>
      <w:r w:rsidR="008B4BCA" w:rsidRPr="00A25FF7">
        <w:rPr>
          <w:b/>
          <w:bCs/>
          <w:color w:val="0070C0"/>
        </w:rPr>
        <w:t>)</w:t>
      </w:r>
    </w:p>
    <w:p w14:paraId="58CD85DF" w14:textId="72558516" w:rsidR="00505638" w:rsidRPr="00505638" w:rsidRDefault="00505638" w:rsidP="00505638">
      <w:pPr>
        <w:jc w:val="both"/>
        <w:rPr>
          <w:color w:val="000000" w:themeColor="text1"/>
        </w:rPr>
      </w:pPr>
      <w:r w:rsidRPr="00505638">
        <w:rPr>
          <w:color w:val="000000" w:themeColor="text1"/>
        </w:rPr>
        <w:t xml:space="preserve">The methodology approach under paragraphs 72–74 is feasible and methodologically valid, as the purpose of this step is to identify which alternative technologies/plants could realistically occur under the BAU scenario. </w:t>
      </w:r>
    </w:p>
    <w:p w14:paraId="71B0BBAB" w14:textId="77777777" w:rsidR="008B696D" w:rsidRDefault="00505638" w:rsidP="00505638">
      <w:pPr>
        <w:jc w:val="both"/>
        <w:rPr>
          <w:color w:val="000000" w:themeColor="text1"/>
        </w:rPr>
      </w:pPr>
      <w:r w:rsidRPr="00505638">
        <w:rPr>
          <w:color w:val="000000" w:themeColor="text1"/>
        </w:rPr>
        <w:t xml:space="preserve">As outlined in paragraph 72, activity participants first identify technologies/plants that are environmentally sound and then assess which of them are economically viable. Paragraph 73 defines economic viability as technologies/practices that have either </w:t>
      </w:r>
    </w:p>
    <w:p w14:paraId="5F95AE0D" w14:textId="37AFE353" w:rsidR="00505638" w:rsidRPr="00505638" w:rsidRDefault="00505638" w:rsidP="00505638">
      <w:pPr>
        <w:jc w:val="both"/>
        <w:rPr>
          <w:color w:val="000000" w:themeColor="text1"/>
        </w:rPr>
      </w:pPr>
      <w:r w:rsidRPr="00505638">
        <w:rPr>
          <w:color w:val="000000" w:themeColor="text1"/>
        </w:rPr>
        <w:t>(a) already been implemented under prevailing market conditions in the baseline geographical reference area without significant subsidies and without carbon revenue, or (b) are available off-the-shelf or through tendering in the baseline area and are economically viable when compared to a benchmark.</w:t>
      </w:r>
    </w:p>
    <w:p w14:paraId="4110899D" w14:textId="034B49EC" w:rsidR="00145D4B" w:rsidRPr="002145DA" w:rsidRDefault="002965B7" w:rsidP="00145D4B">
      <w:pPr>
        <w:jc w:val="both"/>
        <w:rPr>
          <w:color w:val="000000" w:themeColor="text1"/>
        </w:rPr>
      </w:pPr>
      <w:r w:rsidRPr="002145DA">
        <w:rPr>
          <w:color w:val="000000" w:themeColor="text1"/>
        </w:rPr>
        <w:t>To determine viability under</w:t>
      </w:r>
      <w:r w:rsidR="00DB6440">
        <w:rPr>
          <w:color w:val="000000" w:themeColor="text1"/>
        </w:rPr>
        <w:t xml:space="preserve"> paragraph</w:t>
      </w:r>
      <w:r w:rsidRPr="002145DA">
        <w:rPr>
          <w:color w:val="000000" w:themeColor="text1"/>
        </w:rPr>
        <w:t xml:space="preserve"> </w:t>
      </w:r>
      <w:r w:rsidR="00DB6440">
        <w:rPr>
          <w:color w:val="000000" w:themeColor="text1"/>
        </w:rPr>
        <w:t>73</w:t>
      </w:r>
      <w:r w:rsidRPr="002145DA">
        <w:rPr>
          <w:color w:val="000000" w:themeColor="text1"/>
        </w:rPr>
        <w:t xml:space="preserve">(b), paragraph </w:t>
      </w:r>
      <w:r w:rsidR="002E783E">
        <w:rPr>
          <w:color w:val="000000" w:themeColor="text1"/>
        </w:rPr>
        <w:t>74</w:t>
      </w:r>
      <w:r w:rsidRPr="002145DA">
        <w:rPr>
          <w:color w:val="000000" w:themeColor="text1"/>
        </w:rPr>
        <w:t xml:space="preserve"> requires conducting an investment analysis using a benchmark approach consistent with the additionality demonstration. </w:t>
      </w:r>
      <w:r w:rsidR="0067328C" w:rsidRPr="0067328C">
        <w:rPr>
          <w:color w:val="000000" w:themeColor="text1"/>
        </w:rPr>
        <w:t>Where direct cost information from local suppliers is unavailable</w:t>
      </w:r>
      <w:r w:rsidR="00145D4B" w:rsidRPr="0067328C">
        <w:rPr>
          <w:color w:val="000000" w:themeColor="text1"/>
        </w:rPr>
        <w:t xml:space="preserve">, cost and financial parameters may be derived from </w:t>
      </w:r>
      <w:r w:rsidR="00145D4B" w:rsidRPr="007B65E3">
        <w:rPr>
          <w:b/>
          <w:bCs/>
          <w:color w:val="000000" w:themeColor="text1"/>
        </w:rPr>
        <w:t>benchmarks, historical data from similar facilities, peer-reviewed literature, country-specific cost reports, or internationally recognized studies/standards</w:t>
      </w:r>
      <w:r w:rsidR="00145D4B" w:rsidRPr="0067328C">
        <w:rPr>
          <w:color w:val="000000" w:themeColor="text1"/>
        </w:rPr>
        <w:t>, provided that proper justification is given demonstrating that such information can reasonably represent conditions within the applicable baseline geographical reference area.</w:t>
      </w:r>
      <w:r w:rsidR="00CA5ABD">
        <w:rPr>
          <w:color w:val="000000" w:themeColor="text1"/>
        </w:rPr>
        <w:t xml:space="preserve"> The DOE shall </w:t>
      </w:r>
      <w:r w:rsidR="00385733">
        <w:rPr>
          <w:color w:val="000000" w:themeColor="text1"/>
        </w:rPr>
        <w:t>cross-</w:t>
      </w:r>
      <w:r w:rsidR="00CA5ABD">
        <w:rPr>
          <w:color w:val="000000" w:themeColor="text1"/>
        </w:rPr>
        <w:t xml:space="preserve">verify the same during the validation and </w:t>
      </w:r>
      <w:r w:rsidR="00EB615F">
        <w:rPr>
          <w:color w:val="000000" w:themeColor="text1"/>
        </w:rPr>
        <w:t xml:space="preserve">project </w:t>
      </w:r>
      <w:r w:rsidR="00385733">
        <w:rPr>
          <w:color w:val="000000" w:themeColor="text1"/>
        </w:rPr>
        <w:t>registration</w:t>
      </w:r>
      <w:r w:rsidR="00EB615F">
        <w:rPr>
          <w:color w:val="000000" w:themeColor="text1"/>
        </w:rPr>
        <w:t xml:space="preserve"> stage</w:t>
      </w:r>
      <w:r w:rsidR="001F0136">
        <w:rPr>
          <w:color w:val="000000" w:themeColor="text1"/>
        </w:rPr>
        <w:t>.</w:t>
      </w:r>
    </w:p>
    <w:p w14:paraId="0466C1BA" w14:textId="4DF179F0" w:rsidR="00505638" w:rsidRPr="00505638" w:rsidRDefault="00505638" w:rsidP="00505638">
      <w:pPr>
        <w:jc w:val="both"/>
        <w:rPr>
          <w:color w:val="000000" w:themeColor="text1"/>
        </w:rPr>
      </w:pPr>
      <w:r w:rsidRPr="00505638">
        <w:rPr>
          <w:color w:val="000000" w:themeColor="text1"/>
        </w:rPr>
        <w:t xml:space="preserve">Regarding the BAU emissions calculation, the methodology intends BAU emissions to be calculated at the level of an integrated hydrogen–ammonia facility (i.e., per tonne of ammonia produced), reflecting real-world industrial operation and avoiding artificial separation of subprocesses. Where sub-process emission factors are used (hydrogen </w:t>
      </w:r>
      <w:r w:rsidRPr="00505638">
        <w:rPr>
          <w:color w:val="000000" w:themeColor="text1"/>
        </w:rPr>
        <w:lastRenderedPageBreak/>
        <w:t>production, nitrogen separation, ammonia synthesis), these are aggregated consistently to represent the integrated facility performance. Any efficiency gains due to process integration (e.g., waste heat recovery, steam/power integration between reforming and synthesis loop) are accounted for by using integrated plant-level energy and emission intensity data (from operational facilities or credible literature sources).</w:t>
      </w:r>
    </w:p>
    <w:p w14:paraId="242A508B" w14:textId="7522AA59" w:rsidR="00C05690" w:rsidRPr="00C05690" w:rsidRDefault="00C05690" w:rsidP="00076266">
      <w:pPr>
        <w:jc w:val="both"/>
        <w:rPr>
          <w:color w:val="00B050"/>
          <w:lang w:val="en-US"/>
        </w:rPr>
      </w:pPr>
    </w:p>
    <w:sectPr w:rsidR="00C05690" w:rsidRPr="00C0569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Tunga">
    <w:panose1 w:val="00000400000000000000"/>
    <w:charset w:val="00"/>
    <w:family w:val="swiss"/>
    <w:pitch w:val="variable"/>
    <w:sig w:usb0="00400003" w:usb1="00000000" w:usb2="00000000" w:usb3="00000000" w:csb0="00000001"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A719B"/>
    <w:multiLevelType w:val="multilevel"/>
    <w:tmpl w:val="1AB01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5979AB"/>
    <w:multiLevelType w:val="multilevel"/>
    <w:tmpl w:val="E74E2F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B525D3F"/>
    <w:multiLevelType w:val="multilevel"/>
    <w:tmpl w:val="FEAE1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95858545">
    <w:abstractNumId w:val="0"/>
  </w:num>
  <w:num w:numId="2" w16cid:durableId="1872760914">
    <w:abstractNumId w:val="2"/>
  </w:num>
  <w:num w:numId="3" w16cid:durableId="20247417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70A"/>
    <w:rsid w:val="000433C3"/>
    <w:rsid w:val="000448D1"/>
    <w:rsid w:val="00076266"/>
    <w:rsid w:val="000969CF"/>
    <w:rsid w:val="000C457C"/>
    <w:rsid w:val="00106631"/>
    <w:rsid w:val="0011493A"/>
    <w:rsid w:val="00145D4B"/>
    <w:rsid w:val="001461FF"/>
    <w:rsid w:val="001917EB"/>
    <w:rsid w:val="001C6491"/>
    <w:rsid w:val="001F0136"/>
    <w:rsid w:val="00207C87"/>
    <w:rsid w:val="00207F7B"/>
    <w:rsid w:val="002145DA"/>
    <w:rsid w:val="002763E2"/>
    <w:rsid w:val="00294EBC"/>
    <w:rsid w:val="002965B7"/>
    <w:rsid w:val="002C0D00"/>
    <w:rsid w:val="002D0C9F"/>
    <w:rsid w:val="002D199D"/>
    <w:rsid w:val="002D6760"/>
    <w:rsid w:val="002E5C22"/>
    <w:rsid w:val="002E783E"/>
    <w:rsid w:val="00303B44"/>
    <w:rsid w:val="00305942"/>
    <w:rsid w:val="00370ED7"/>
    <w:rsid w:val="00385733"/>
    <w:rsid w:val="003A4CBB"/>
    <w:rsid w:val="003B1A9A"/>
    <w:rsid w:val="003D49B7"/>
    <w:rsid w:val="003E0129"/>
    <w:rsid w:val="003E677E"/>
    <w:rsid w:val="00403836"/>
    <w:rsid w:val="00423195"/>
    <w:rsid w:val="00425448"/>
    <w:rsid w:val="00426449"/>
    <w:rsid w:val="00430287"/>
    <w:rsid w:val="004A46EE"/>
    <w:rsid w:val="004B409F"/>
    <w:rsid w:val="004E48F5"/>
    <w:rsid w:val="00505638"/>
    <w:rsid w:val="00522B24"/>
    <w:rsid w:val="005278E8"/>
    <w:rsid w:val="00530664"/>
    <w:rsid w:val="00541477"/>
    <w:rsid w:val="00546B99"/>
    <w:rsid w:val="005771E2"/>
    <w:rsid w:val="005B2891"/>
    <w:rsid w:val="005C3B36"/>
    <w:rsid w:val="005E057A"/>
    <w:rsid w:val="005F3199"/>
    <w:rsid w:val="005F7105"/>
    <w:rsid w:val="006008AC"/>
    <w:rsid w:val="006327F6"/>
    <w:rsid w:val="006514B2"/>
    <w:rsid w:val="006521D2"/>
    <w:rsid w:val="00666435"/>
    <w:rsid w:val="0067328C"/>
    <w:rsid w:val="006A5823"/>
    <w:rsid w:val="006B155F"/>
    <w:rsid w:val="006B5CB5"/>
    <w:rsid w:val="006F167B"/>
    <w:rsid w:val="006F473E"/>
    <w:rsid w:val="00701D85"/>
    <w:rsid w:val="00743352"/>
    <w:rsid w:val="007670D0"/>
    <w:rsid w:val="00783862"/>
    <w:rsid w:val="007A35F2"/>
    <w:rsid w:val="007B2726"/>
    <w:rsid w:val="007B65E3"/>
    <w:rsid w:val="007D6270"/>
    <w:rsid w:val="0083141F"/>
    <w:rsid w:val="008519B3"/>
    <w:rsid w:val="008622E4"/>
    <w:rsid w:val="008B4BCA"/>
    <w:rsid w:val="008B696D"/>
    <w:rsid w:val="008C3A34"/>
    <w:rsid w:val="008D2998"/>
    <w:rsid w:val="008F258D"/>
    <w:rsid w:val="00906BE7"/>
    <w:rsid w:val="00961968"/>
    <w:rsid w:val="0096288F"/>
    <w:rsid w:val="00985215"/>
    <w:rsid w:val="009B2680"/>
    <w:rsid w:val="00A14CA9"/>
    <w:rsid w:val="00A21966"/>
    <w:rsid w:val="00A25FF7"/>
    <w:rsid w:val="00A677AD"/>
    <w:rsid w:val="00A75D6E"/>
    <w:rsid w:val="00AD6E0C"/>
    <w:rsid w:val="00AF170A"/>
    <w:rsid w:val="00B02F2C"/>
    <w:rsid w:val="00B20DB0"/>
    <w:rsid w:val="00B26F8E"/>
    <w:rsid w:val="00B40AF2"/>
    <w:rsid w:val="00B54B95"/>
    <w:rsid w:val="00B71C30"/>
    <w:rsid w:val="00BA430C"/>
    <w:rsid w:val="00BC3C30"/>
    <w:rsid w:val="00BC6E7C"/>
    <w:rsid w:val="00BF10DD"/>
    <w:rsid w:val="00C05690"/>
    <w:rsid w:val="00C07632"/>
    <w:rsid w:val="00C2635F"/>
    <w:rsid w:val="00C3211B"/>
    <w:rsid w:val="00C36D7A"/>
    <w:rsid w:val="00C520C9"/>
    <w:rsid w:val="00C6429E"/>
    <w:rsid w:val="00C74602"/>
    <w:rsid w:val="00CA5ABD"/>
    <w:rsid w:val="00CB7318"/>
    <w:rsid w:val="00D10F71"/>
    <w:rsid w:val="00D15E90"/>
    <w:rsid w:val="00D55C4F"/>
    <w:rsid w:val="00D75AAE"/>
    <w:rsid w:val="00D90F3A"/>
    <w:rsid w:val="00DB1F82"/>
    <w:rsid w:val="00DB6440"/>
    <w:rsid w:val="00E25B44"/>
    <w:rsid w:val="00E25DA1"/>
    <w:rsid w:val="00E611B0"/>
    <w:rsid w:val="00E85179"/>
    <w:rsid w:val="00E932E7"/>
    <w:rsid w:val="00EA7C38"/>
    <w:rsid w:val="00EB01E6"/>
    <w:rsid w:val="00EB615F"/>
    <w:rsid w:val="00F11C3A"/>
    <w:rsid w:val="00F53CF9"/>
    <w:rsid w:val="00F57F8D"/>
    <w:rsid w:val="00F817CA"/>
    <w:rsid w:val="00F94A51"/>
    <w:rsid w:val="00FA735A"/>
    <w:rsid w:val="00FE7E01"/>
  </w:rsids>
  <m:mathPr>
    <m:mathFont m:val="Cambria Math"/>
    <m:brkBin m:val="before"/>
    <m:brkBinSub m:val="--"/>
    <m:smallFrac m:val="0"/>
    <m:dispDef/>
    <m:lMargin m:val="0"/>
    <m:rMargin m:val="0"/>
    <m:defJc m:val="centerGroup"/>
    <m:wrapIndent m:val="1440"/>
    <m:intLim m:val="subSup"/>
    <m:naryLim m:val="undOvr"/>
  </m:mathPr>
  <w:themeFontLang w:val="en-IN" w:eastAsia="ja-JP"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F4045F"/>
  <w15:chartTrackingRefBased/>
  <w15:docId w15:val="{B54BCF82-34E9-4D6D-9D36-7313B8E0B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N" w:eastAsia="ja-JP"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0136"/>
  </w:style>
  <w:style w:type="paragraph" w:styleId="Heading1">
    <w:name w:val="heading 1"/>
    <w:basedOn w:val="Normal"/>
    <w:next w:val="Normal"/>
    <w:link w:val="Heading1Char"/>
    <w:uiPriority w:val="9"/>
    <w:qFormat/>
    <w:rsid w:val="00AF17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F17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F170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F170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F170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F170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F170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F170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F170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170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F170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F170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F170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F170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F170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F170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F170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F170A"/>
    <w:rPr>
      <w:rFonts w:eastAsiaTheme="majorEastAsia" w:cstheme="majorBidi"/>
      <w:color w:val="272727" w:themeColor="text1" w:themeTint="D8"/>
    </w:rPr>
  </w:style>
  <w:style w:type="paragraph" w:styleId="Title">
    <w:name w:val="Title"/>
    <w:basedOn w:val="Normal"/>
    <w:next w:val="Normal"/>
    <w:link w:val="TitleChar"/>
    <w:uiPriority w:val="10"/>
    <w:qFormat/>
    <w:rsid w:val="00AF17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17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170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170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170A"/>
    <w:pPr>
      <w:spacing w:before="160"/>
      <w:jc w:val="center"/>
    </w:pPr>
    <w:rPr>
      <w:i/>
      <w:iCs/>
      <w:color w:val="404040" w:themeColor="text1" w:themeTint="BF"/>
    </w:rPr>
  </w:style>
  <w:style w:type="character" w:customStyle="1" w:styleId="QuoteChar">
    <w:name w:val="Quote Char"/>
    <w:basedOn w:val="DefaultParagraphFont"/>
    <w:link w:val="Quote"/>
    <w:uiPriority w:val="29"/>
    <w:rsid w:val="00AF170A"/>
    <w:rPr>
      <w:i/>
      <w:iCs/>
      <w:color w:val="404040" w:themeColor="text1" w:themeTint="BF"/>
    </w:rPr>
  </w:style>
  <w:style w:type="paragraph" w:styleId="ListParagraph">
    <w:name w:val="List Paragraph"/>
    <w:basedOn w:val="Normal"/>
    <w:uiPriority w:val="34"/>
    <w:qFormat/>
    <w:rsid w:val="00AF170A"/>
    <w:pPr>
      <w:ind w:left="720"/>
      <w:contextualSpacing/>
    </w:pPr>
  </w:style>
  <w:style w:type="character" w:styleId="IntenseEmphasis">
    <w:name w:val="Intense Emphasis"/>
    <w:basedOn w:val="DefaultParagraphFont"/>
    <w:uiPriority w:val="21"/>
    <w:qFormat/>
    <w:rsid w:val="00AF170A"/>
    <w:rPr>
      <w:i/>
      <w:iCs/>
      <w:color w:val="0F4761" w:themeColor="accent1" w:themeShade="BF"/>
    </w:rPr>
  </w:style>
  <w:style w:type="paragraph" w:styleId="IntenseQuote">
    <w:name w:val="Intense Quote"/>
    <w:basedOn w:val="Normal"/>
    <w:next w:val="Normal"/>
    <w:link w:val="IntenseQuoteChar"/>
    <w:uiPriority w:val="30"/>
    <w:qFormat/>
    <w:rsid w:val="00AF17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F170A"/>
    <w:rPr>
      <w:i/>
      <w:iCs/>
      <w:color w:val="0F4761" w:themeColor="accent1" w:themeShade="BF"/>
    </w:rPr>
  </w:style>
  <w:style w:type="character" w:styleId="IntenseReference">
    <w:name w:val="Intense Reference"/>
    <w:basedOn w:val="DefaultParagraphFont"/>
    <w:uiPriority w:val="32"/>
    <w:qFormat/>
    <w:rsid w:val="00AF170A"/>
    <w:rPr>
      <w:b/>
      <w:bCs/>
      <w:smallCaps/>
      <w:color w:val="0F4761" w:themeColor="accent1" w:themeShade="BF"/>
      <w:spacing w:val="5"/>
    </w:rPr>
  </w:style>
  <w:style w:type="paragraph" w:styleId="NormalWeb">
    <w:name w:val="Normal (Web)"/>
    <w:basedOn w:val="Normal"/>
    <w:uiPriority w:val="99"/>
    <w:semiHidden/>
    <w:unhideWhenUsed/>
    <w:rsid w:val="00522B24"/>
    <w:rPr>
      <w:rFonts w:ascii="Times New Roman" w:hAnsi="Times New Roman" w:cs="Times New Roman"/>
    </w:rPr>
  </w:style>
  <w:style w:type="character" w:styleId="Hyperlink">
    <w:name w:val="Hyperlink"/>
    <w:basedOn w:val="DefaultParagraphFont"/>
    <w:uiPriority w:val="99"/>
    <w:unhideWhenUsed/>
    <w:rsid w:val="00541477"/>
    <w:rPr>
      <w:color w:val="467886" w:themeColor="hyperlink"/>
      <w:u w:val="single"/>
    </w:rPr>
  </w:style>
  <w:style w:type="character" w:styleId="UnresolvedMention">
    <w:name w:val="Unresolved Mention"/>
    <w:basedOn w:val="DefaultParagraphFont"/>
    <w:uiPriority w:val="99"/>
    <w:semiHidden/>
    <w:unhideWhenUsed/>
    <w:rsid w:val="005414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yperlink" Target="https://www.energystar.gov/sites/default/files/tools/Fertilizer_guide_170418_508.pdf?utm_source=chatgpt.com"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greenammonia.info/green-ammonia-production?utm_source=chatgpt.com" TargetMode="External"/><Relationship Id="rId11" Type="http://schemas.openxmlformats.org/officeDocument/2006/relationships/customXml" Target="../customXml/item2.xml"/><Relationship Id="rId5" Type="http://schemas.openxmlformats.org/officeDocument/2006/relationships/hyperlink" Target="https://www.nature.com/articles/s43016-025-01125-y?utm_source=chatgpt.com" TargetMode="Externa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B6730B0802B54A9F00C78B857E1443" ma:contentTypeVersion="29" ma:contentTypeDescription="Create a new document." ma:contentTypeScope="" ma:versionID="f0e2d70dafa41b6ef69430ad12182e9a">
  <xsd:schema xmlns:xsd="http://www.w3.org/2001/XMLSchema" xmlns:xs="http://www.w3.org/2001/XMLSchema" xmlns:p="http://schemas.microsoft.com/office/2006/metadata/properties" xmlns:ns2="819ae873-75e1-413b-9d00-7af9258cf281" xmlns:ns3="eb4559c4-8463-4985-927f-f0d558bff8f0" xmlns:ns4="13d80b15-5f07-43ab-b435-85767a7dac08" targetNamespace="http://schemas.microsoft.com/office/2006/metadata/properties" ma:root="true" ma:fieldsID="c8160be1ed514a7b5e37b70fef8dac54" ns2:_="" ns3:_="" ns4:_="">
    <xsd:import namespace="819ae873-75e1-413b-9d00-7af9258cf281"/>
    <xsd:import namespace="eb4559c4-8463-4985-927f-f0d558bff8f0"/>
    <xsd:import namespace="13d80b15-5f07-43ab-b435-85767a7dac0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Doc_x002e_SymbolNumber"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element ref="ns2:Ready" minOccurs="0"/>
                <xsd:element ref="ns2:_Flow_SignoffStatus" minOccurs="0"/>
                <xsd:element ref="ns2:Teamleademail" minOccurs="0"/>
                <xsd:element ref="ns2:Drafter_x0028_s_x0029_" minOccurs="0"/>
                <xsd:element ref="ns2:Formatter_x0028_s_x0029_" minOccurs="0"/>
                <xsd:element ref="ns2:Status" minOccurs="0"/>
                <xsd:element ref="ns2:Approvinghostpar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9ae873-75e1-413b-9d00-7af9258cf2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oc_x002e_SymbolNumber" ma:index="12" nillable="true" ma:displayName="Doc. Symbol Number" ma:format="Dropdown" ma:internalName="Doc_x002e_SymbolNumber">
      <xsd:simpleType>
        <xsd:restriction base="dms:Note">
          <xsd:maxLength value="255"/>
        </xsd:restrictio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d8c265a-5436-43a7-80c1-713d2827ffd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Ready" ma:index="26" nillable="true" ma:displayName="Ready" ma:default="1" ma:format="Dropdown" ma:internalName="Ready">
      <xsd:simpleType>
        <xsd:restriction base="dms:Boolean"/>
      </xsd:simpleType>
    </xsd:element>
    <xsd:element name="_Flow_SignoffStatus" ma:index="27" nillable="true" ma:displayName="Sign-off status" ma:format="Dropdown" ma:internalName="_x0024_Resources_x003a_core_x002c_Signoff_Status">
      <xsd:simpleType>
        <xsd:restriction base="dms:Choice">
          <xsd:enumeration value="WIP"/>
          <xsd:enumeration value="Ready for clearance"/>
          <xsd:enumeration value="Cleared"/>
          <xsd:enumeration value="Returned"/>
        </xsd:restriction>
      </xsd:simpleType>
    </xsd:element>
    <xsd:element name="Teamleademail" ma:index="28" nillable="true" ma:displayName="Team lead(s)" ma:format="Dropdown" ma:list="UserInfo" ma:SharePointGroup="0" ma:internalName="Teamleademail">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rafter_x0028_s_x0029_" ma:index="29" nillable="true" ma:displayName="Drafter(s)" ma:format="Dropdown" ma:list="UserInfo" ma:SharePointGroup="0" ma:internalName="Drafter_x0028_s_x0029_">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ormatter_x0028_s_x0029_" ma:index="30" nillable="true" ma:displayName="Formatter(s)" ma:format="Dropdown" ma:list="UserInfo" ma:SharePointGroup="0" ma:internalName="Formatter_x0028_s_x0029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31" nillable="true" ma:displayName="Status" ma:default="1" ma:format="Dropdown" ma:internalName="Status">
      <xsd:simpleType>
        <xsd:restriction base="dms:Boolean"/>
      </xsd:simpleType>
    </xsd:element>
    <xsd:element name="Approvinghostparty" ma:index="32" nillable="true" ma:displayName="Approving host party" ma:format="Dropdown" ma:internalName="Approvinghostpart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4559c4-8463-4985-927f-f0d558bff8f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71990851-a39d-4e76-9339-d9f3f2815fa8}" ma:internalName="TaxCatchAll" ma:showField="CatchAllData" ma:web="13d80b15-5f07-43ab-b435-85767a7dac0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3d80b15-5f07-43ab-b435-85767a7dac0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9d8c265a-5436-43a7-80c1-713d2827ffde"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pprovinghostparty xmlns="819ae873-75e1-413b-9d00-7af9258cf281" xsi:nil="true"/>
    <lcf76f155ced4ddcb4097134ff3c332f xmlns="819ae873-75e1-413b-9d00-7af9258cf281">
      <Terms xmlns="http://schemas.microsoft.com/office/infopath/2007/PartnerControls"/>
    </lcf76f155ced4ddcb4097134ff3c332f>
    <TaxCatchAll xmlns="eb4559c4-8463-4985-927f-f0d558bff8f0" xsi:nil="true"/>
    <Formatter_x0028_s_x0029_ xmlns="819ae873-75e1-413b-9d00-7af9258cf281">
      <UserInfo>
        <DisplayName/>
        <AccountId xsi:nil="true"/>
        <AccountType/>
      </UserInfo>
    </Formatter_x0028_s_x0029_>
    <Ready xmlns="819ae873-75e1-413b-9d00-7af9258cf281">true</Ready>
    <Doc_x002e_SymbolNumber xmlns="819ae873-75e1-413b-9d00-7af9258cf281" xsi:nil="true"/>
    <_Flow_SignoffStatus xmlns="819ae873-75e1-413b-9d00-7af9258cf281" xsi:nil="true"/>
    <Status xmlns="819ae873-75e1-413b-9d00-7af9258cf281">true</Status>
    <Teamleademail xmlns="819ae873-75e1-413b-9d00-7af9258cf281">
      <UserInfo>
        <DisplayName/>
        <AccountId xsi:nil="true"/>
        <AccountType/>
      </UserInfo>
    </Teamleademail>
    <Drafter_x0028_s_x0029_ xmlns="819ae873-75e1-413b-9d00-7af9258cf281">
      <UserInfo>
        <DisplayName/>
        <AccountId xsi:nil="true"/>
        <AccountType/>
      </UserInfo>
    </Drafter_x0028_s_x0029_>
  </documentManagement>
</p:properties>
</file>

<file path=customXml/itemProps1.xml><?xml version="1.0" encoding="utf-8"?>
<ds:datastoreItem xmlns:ds="http://schemas.openxmlformats.org/officeDocument/2006/customXml" ds:itemID="{134E13AF-0AEF-4957-88F9-1A27417EA985}"/>
</file>

<file path=customXml/itemProps2.xml><?xml version="1.0" encoding="utf-8"?>
<ds:datastoreItem xmlns:ds="http://schemas.openxmlformats.org/officeDocument/2006/customXml" ds:itemID="{B55166A9-5438-4EC3-98CE-99D96C60E4B5}"/>
</file>

<file path=customXml/itemProps3.xml><?xml version="1.0" encoding="utf-8"?>
<ds:datastoreItem xmlns:ds="http://schemas.openxmlformats.org/officeDocument/2006/customXml" ds:itemID="{136F838D-CB19-4915-9759-90A90908E905}"/>
</file>

<file path=customXml/itemProps4.xml><?xml version="1.0" encoding="utf-8"?>
<ds:datastoreItem xmlns:ds="http://schemas.openxmlformats.org/officeDocument/2006/customXml" ds:itemID="{FEEC0E75-DD1B-493B-BCBB-14CA56DEE49E}"/>
</file>

<file path=docProps/app.xml><?xml version="1.0" encoding="utf-8"?>
<Properties xmlns="http://schemas.openxmlformats.org/officeDocument/2006/extended-properties" xmlns:vt="http://schemas.openxmlformats.org/officeDocument/2006/docPropsVTypes">
  <Template>Normal</Template>
  <TotalTime>1525</TotalTime>
  <Pages>6</Pages>
  <Words>2139</Words>
  <Characters>12193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Channabasava Parit</dc:creator>
  <cp:keywords/>
  <dc:description/>
  <cp:lastModifiedBy>Channabasava Parit</cp:lastModifiedBy>
  <cp:revision>128</cp:revision>
  <dcterms:created xsi:type="dcterms:W3CDTF">2026-02-13T04:34:00Z</dcterms:created>
  <dcterms:modified xsi:type="dcterms:W3CDTF">2026-02-21T11:47:00Z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0x0101008FB6730B0802B54A9F00C78B857E1443</vt:lpwstr>
  </property>
</Properties>
</file>